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ook w:val="0000" w:firstRow="0" w:lastRow="0" w:firstColumn="0" w:lastColumn="0" w:noHBand="0" w:noVBand="0"/>
      </w:tblPr>
      <w:tblGrid>
        <w:gridCol w:w="4428"/>
        <w:gridCol w:w="5461"/>
      </w:tblGrid>
      <w:tr w:rsidR="00DD4792" w:rsidRPr="00FE3821" w14:paraId="770707E7" w14:textId="77777777">
        <w:tc>
          <w:tcPr>
            <w:tcW w:w="4428" w:type="dxa"/>
            <w:shd w:val="clear" w:color="auto" w:fill="auto"/>
          </w:tcPr>
          <w:p w14:paraId="2CD0E032" w14:textId="52001EF3" w:rsidR="00DD4792" w:rsidRDefault="00E1086F">
            <w:pPr>
              <w:tabs>
                <w:tab w:val="left" w:pos="851"/>
              </w:tabs>
            </w:pPr>
            <w:r>
              <w:rPr>
                <w:rFonts w:ascii="Calibri" w:hAnsi="Calibri"/>
              </w:rPr>
              <w:t>From:</w:t>
            </w:r>
            <w:r>
              <w:rPr>
                <w:rFonts w:ascii="Calibri" w:hAnsi="Calibri"/>
              </w:rPr>
              <w:tab/>
            </w:r>
            <w:r w:rsidR="00070A65">
              <w:rPr>
                <w:rFonts w:ascii="Calibri" w:hAnsi="Calibri"/>
              </w:rPr>
              <w:t>ENG</w:t>
            </w:r>
            <w:r w:rsidR="00D71DD5">
              <w:rPr>
                <w:rFonts w:ascii="Calibri" w:hAnsi="Calibri"/>
              </w:rPr>
              <w:t xml:space="preserve"> Committee</w:t>
            </w:r>
          </w:p>
        </w:tc>
        <w:tc>
          <w:tcPr>
            <w:tcW w:w="5460" w:type="dxa"/>
            <w:shd w:val="clear" w:color="auto" w:fill="auto"/>
          </w:tcPr>
          <w:p w14:paraId="643597A2" w14:textId="1D7DE7AF" w:rsidR="00DD4792" w:rsidRPr="00FE3821" w:rsidRDefault="00D71DD5">
            <w:pPr>
              <w:jc w:val="right"/>
              <w:rPr>
                <w:rFonts w:ascii="Calibri" w:hAnsi="Calibri"/>
              </w:rPr>
            </w:pPr>
            <w:r>
              <w:rPr>
                <w:rFonts w:ascii="Calibri" w:hAnsi="Calibri"/>
              </w:rPr>
              <w:t>ARM10-3.13</w:t>
            </w:r>
          </w:p>
        </w:tc>
      </w:tr>
      <w:tr w:rsidR="00DD4792" w:rsidRPr="00FE3821" w14:paraId="766F5EFA" w14:textId="77777777">
        <w:tc>
          <w:tcPr>
            <w:tcW w:w="4428" w:type="dxa"/>
            <w:shd w:val="clear" w:color="auto" w:fill="auto"/>
          </w:tcPr>
          <w:p w14:paraId="63C711E4" w14:textId="094BF664" w:rsidR="00DD4792" w:rsidRDefault="00E1086F">
            <w:pPr>
              <w:tabs>
                <w:tab w:val="left" w:pos="851"/>
              </w:tabs>
            </w:pPr>
            <w:r>
              <w:rPr>
                <w:rFonts w:ascii="Calibri" w:hAnsi="Calibri"/>
              </w:rPr>
              <w:t>To:</w:t>
            </w:r>
            <w:r>
              <w:rPr>
                <w:rFonts w:ascii="Calibri" w:hAnsi="Calibri"/>
              </w:rPr>
              <w:tab/>
            </w:r>
            <w:r w:rsidR="00070A65">
              <w:rPr>
                <w:rFonts w:ascii="Calibri" w:hAnsi="Calibri"/>
              </w:rPr>
              <w:t>ARM</w:t>
            </w:r>
            <w:r w:rsidR="00D71DD5">
              <w:rPr>
                <w:rFonts w:ascii="Calibri" w:hAnsi="Calibri"/>
              </w:rPr>
              <w:t xml:space="preserve"> Committee</w:t>
            </w:r>
            <w:bookmarkStart w:id="0" w:name="_GoBack"/>
            <w:bookmarkEnd w:id="0"/>
          </w:p>
        </w:tc>
        <w:tc>
          <w:tcPr>
            <w:tcW w:w="5460" w:type="dxa"/>
            <w:shd w:val="clear" w:color="auto" w:fill="auto"/>
          </w:tcPr>
          <w:p w14:paraId="67064419" w14:textId="692CACF3" w:rsidR="00DD4792" w:rsidRPr="00FE3821" w:rsidRDefault="00FE3821">
            <w:pPr>
              <w:jc w:val="right"/>
              <w:rPr>
                <w:rFonts w:ascii="Calibri" w:hAnsi="Calibri"/>
              </w:rPr>
            </w:pPr>
            <w:r w:rsidRPr="00FE3821">
              <w:rPr>
                <w:rFonts w:ascii="Calibri" w:hAnsi="Calibri"/>
              </w:rPr>
              <w:t>0</w:t>
            </w:r>
            <w:r w:rsidR="00070A65">
              <w:rPr>
                <w:rFonts w:ascii="Calibri" w:hAnsi="Calibri"/>
              </w:rPr>
              <w:t>3</w:t>
            </w:r>
            <w:r w:rsidR="00E1086F" w:rsidRPr="00FE3821">
              <w:rPr>
                <w:rFonts w:ascii="Calibri" w:hAnsi="Calibri"/>
              </w:rPr>
              <w:t xml:space="preserve"> </w:t>
            </w:r>
            <w:r w:rsidR="00070A65">
              <w:rPr>
                <w:rFonts w:ascii="Calibri" w:hAnsi="Calibri"/>
              </w:rPr>
              <w:t>October</w:t>
            </w:r>
            <w:r w:rsidR="00E1086F" w:rsidRPr="00FE3821">
              <w:rPr>
                <w:rFonts w:ascii="Calibri" w:hAnsi="Calibri"/>
              </w:rPr>
              <w:t xml:space="preserve"> 201</w:t>
            </w:r>
            <w:r w:rsidRPr="00FE3821">
              <w:rPr>
                <w:rFonts w:ascii="Calibri" w:hAnsi="Calibri"/>
              </w:rPr>
              <w:t>9</w:t>
            </w:r>
          </w:p>
        </w:tc>
      </w:tr>
    </w:tbl>
    <w:p w14:paraId="299B8C3E" w14:textId="77777777" w:rsidR="00DD4792" w:rsidRDefault="00E1086F">
      <w:pPr>
        <w:pStyle w:val="Title"/>
        <w:spacing w:before="480" w:after="120"/>
        <w:rPr>
          <w:rFonts w:ascii="Calibri" w:hAnsi="Calibri"/>
          <w:color w:val="00558C"/>
        </w:rPr>
      </w:pPr>
      <w:r>
        <w:rPr>
          <w:rFonts w:ascii="Calibri" w:hAnsi="Calibri"/>
          <w:color w:val="00558C"/>
        </w:rPr>
        <w:t>LIAISON NOTE</w:t>
      </w:r>
    </w:p>
    <w:p w14:paraId="4F5FDDE5" w14:textId="36CED134" w:rsidR="00DD4792" w:rsidRDefault="00E1086F">
      <w:pPr>
        <w:pStyle w:val="Title"/>
        <w:spacing w:after="120"/>
      </w:pPr>
      <w:r>
        <w:rPr>
          <w:rFonts w:ascii="Calibri" w:hAnsi="Calibri"/>
          <w:color w:val="00558C"/>
        </w:rPr>
        <w:t xml:space="preserve">Vertical </w:t>
      </w:r>
      <w:r w:rsidR="00062A91">
        <w:rPr>
          <w:rFonts w:ascii="Calibri" w:hAnsi="Calibri"/>
          <w:color w:val="00558C"/>
        </w:rPr>
        <w:t>D</w:t>
      </w:r>
      <w:r>
        <w:rPr>
          <w:rFonts w:ascii="Calibri" w:hAnsi="Calibri"/>
          <w:color w:val="00558C"/>
        </w:rPr>
        <w:t xml:space="preserve">ivergence of </w:t>
      </w:r>
      <w:r w:rsidR="00062A91">
        <w:rPr>
          <w:rFonts w:ascii="Calibri" w:hAnsi="Calibri"/>
          <w:color w:val="00558C"/>
        </w:rPr>
        <w:t>L</w:t>
      </w:r>
      <w:r>
        <w:rPr>
          <w:rFonts w:ascii="Calibri" w:hAnsi="Calibri"/>
          <w:color w:val="00558C"/>
        </w:rPr>
        <w:t xml:space="preserve">ight for </w:t>
      </w:r>
      <w:r w:rsidR="00062A91">
        <w:rPr>
          <w:rFonts w:ascii="Calibri" w:hAnsi="Calibri"/>
          <w:color w:val="00558C"/>
        </w:rPr>
        <w:t>M</w:t>
      </w:r>
      <w:r>
        <w:rPr>
          <w:rFonts w:ascii="Calibri" w:hAnsi="Calibri"/>
          <w:color w:val="00558C"/>
        </w:rPr>
        <w:t xml:space="preserve">arking </w:t>
      </w:r>
      <w:r w:rsidR="00062A91">
        <w:rPr>
          <w:rFonts w:ascii="Calibri" w:hAnsi="Calibri"/>
          <w:color w:val="00558C"/>
        </w:rPr>
        <w:t>M</w:t>
      </w:r>
      <w:r>
        <w:rPr>
          <w:rFonts w:ascii="Calibri" w:hAnsi="Calibri"/>
          <w:color w:val="00558C"/>
        </w:rPr>
        <w:t xml:space="preserve">ooring </w:t>
      </w:r>
      <w:r w:rsidR="00062A91">
        <w:rPr>
          <w:rFonts w:ascii="Calibri" w:hAnsi="Calibri"/>
          <w:color w:val="00558C"/>
        </w:rPr>
        <w:t>B</w:t>
      </w:r>
      <w:r>
        <w:rPr>
          <w:rFonts w:ascii="Calibri" w:hAnsi="Calibri"/>
          <w:color w:val="00558C"/>
        </w:rPr>
        <w:t>uoy</w:t>
      </w:r>
      <w:r w:rsidR="00062A91">
        <w:rPr>
          <w:rFonts w:ascii="Calibri" w:hAnsi="Calibri"/>
          <w:color w:val="00558C"/>
        </w:rPr>
        <w:t>s</w:t>
      </w:r>
    </w:p>
    <w:p w14:paraId="2BD07CF3" w14:textId="77777777" w:rsidR="00DD4792" w:rsidRDefault="00E1086F">
      <w:pPr>
        <w:pStyle w:val="Heading1"/>
        <w:numPr>
          <w:ilvl w:val="0"/>
          <w:numId w:val="2"/>
        </w:numPr>
        <w:ind w:left="567" w:hanging="567"/>
      </w:pPr>
      <w:r>
        <w:t>Introduction</w:t>
      </w:r>
    </w:p>
    <w:p w14:paraId="7856392F" w14:textId="4C7FADCA" w:rsidR="00DD4792" w:rsidRDefault="00070A65">
      <w:pPr>
        <w:pStyle w:val="BodyText"/>
      </w:pPr>
      <w:r>
        <w:t xml:space="preserve">The ENG committee receive Liaison Note ENG10-3.1.5 from the ARM Committee on a request from the </w:t>
      </w:r>
      <w:r w:rsidR="00E1086F">
        <w:t>French authority to consider the marking of mooring buoys (ARM9-3.1).</w:t>
      </w:r>
    </w:p>
    <w:p w14:paraId="1EDCC825" w14:textId="77777777" w:rsidR="00DD4792" w:rsidRDefault="00E1086F">
      <w:pPr>
        <w:pStyle w:val="BodyText"/>
      </w:pPr>
      <w:bookmarkStart w:id="1" w:name="__DdeLink__451_3961950346"/>
      <w:r>
        <w:t>ARM decided marking of mooring buoy will be take into consideration in the further revision of the</w:t>
      </w:r>
      <w:bookmarkEnd w:id="1"/>
      <w:r>
        <w:t xml:space="preserve"> MBS. </w:t>
      </w:r>
    </w:p>
    <w:p w14:paraId="16F707E3" w14:textId="77777777" w:rsidR="00E1086F" w:rsidRPr="00821865" w:rsidRDefault="00E1086F">
      <w:pPr>
        <w:pStyle w:val="BodyText"/>
      </w:pPr>
      <w:r w:rsidRPr="00821865">
        <w:t>As a preliminary remark, the ARM Committee notes, that if a mooring buoy interfere</w:t>
      </w:r>
      <w:r w:rsidR="00821865" w:rsidRPr="00821865">
        <w:t>s</w:t>
      </w:r>
      <w:r w:rsidRPr="00821865">
        <w:t xml:space="preserve"> with other navigational marks, the preferred mark used for </w:t>
      </w:r>
      <w:r w:rsidR="00821865">
        <w:t>mooring buoys should be</w:t>
      </w:r>
      <w:r w:rsidRPr="00821865">
        <w:t xml:space="preserve"> a special mark. </w:t>
      </w:r>
    </w:p>
    <w:p w14:paraId="1DF65E24" w14:textId="77777777" w:rsidR="00DD4792" w:rsidRDefault="00E1086F">
      <w:pPr>
        <w:pStyle w:val="BodyText"/>
      </w:pPr>
      <w:r>
        <w:t>Due to the inclination of mooring buoys under tension, ARM committee raises the issue regarding the vertical divergence of the light.</w:t>
      </w:r>
    </w:p>
    <w:p w14:paraId="0F865A48" w14:textId="2838E24A" w:rsidR="00DD4792" w:rsidRDefault="00070A65">
      <w:pPr>
        <w:pStyle w:val="Heading1"/>
        <w:numPr>
          <w:ilvl w:val="0"/>
          <w:numId w:val="2"/>
        </w:numPr>
        <w:ind w:left="567" w:hanging="567"/>
      </w:pPr>
      <w:r>
        <w:t>Discussion</w:t>
      </w:r>
    </w:p>
    <w:p w14:paraId="30422F69" w14:textId="782104BD" w:rsidR="00DD4792" w:rsidRDefault="00E1086F">
      <w:pPr>
        <w:pStyle w:val="BodyText"/>
      </w:pPr>
      <w:r>
        <w:t xml:space="preserve">The ENG committee </w:t>
      </w:r>
      <w:r w:rsidR="00070A65">
        <w:t xml:space="preserve">have considered the following points from ARM and provided responses: </w:t>
      </w:r>
    </w:p>
    <w:p w14:paraId="76218BE9" w14:textId="25BFC896" w:rsidR="00DD4792" w:rsidRPr="00B057F9" w:rsidRDefault="00E1086F">
      <w:pPr>
        <w:pStyle w:val="Punktliste31"/>
        <w:numPr>
          <w:ilvl w:val="0"/>
          <w:numId w:val="3"/>
        </w:numPr>
        <w:rPr>
          <w:lang w:val="en-GB"/>
        </w:rPr>
      </w:pPr>
      <w:r>
        <w:rPr>
          <w:lang w:val="en-GB"/>
        </w:rPr>
        <w:t xml:space="preserve">Consider what vertical divergence </w:t>
      </w:r>
      <w:r>
        <w:rPr>
          <w:lang w:val="en-US"/>
        </w:rPr>
        <w:t>would be the most appropriate for this case</w:t>
      </w:r>
      <w:r w:rsidR="00821865">
        <w:rPr>
          <w:lang w:val="en-GB"/>
        </w:rPr>
        <w:t>.</w:t>
      </w:r>
    </w:p>
    <w:p w14:paraId="497EFB22" w14:textId="612D131F" w:rsidR="00070A65" w:rsidRPr="00B057F9" w:rsidRDefault="0093667F" w:rsidP="0093667F">
      <w:pPr>
        <w:pStyle w:val="Punktliste31"/>
        <w:numPr>
          <w:ilvl w:val="1"/>
          <w:numId w:val="3"/>
        </w:numPr>
        <w:rPr>
          <w:lang w:val="en-GB"/>
        </w:rPr>
      </w:pPr>
      <w:r>
        <w:rPr>
          <w:lang w:val="en-GB"/>
        </w:rPr>
        <w:t>The ENG Committee consider the case that under tension the buoy could heel up to forty-five degrees. However, this would be when a vessel is moored and therefore the vessel would be displaying its own navigational lights, such that a light on the mooring buoy would not be in use</w:t>
      </w:r>
      <w:r w:rsidR="006C4DB8">
        <w:rPr>
          <w:lang w:val="en-GB"/>
        </w:rPr>
        <w:t xml:space="preserve"> or would have negligible effect.</w:t>
      </w:r>
    </w:p>
    <w:p w14:paraId="00014F67" w14:textId="7589D6C1" w:rsidR="00DD4792" w:rsidRPr="00B057F9" w:rsidRDefault="00E1086F">
      <w:pPr>
        <w:pStyle w:val="Punktliste31"/>
        <w:numPr>
          <w:ilvl w:val="0"/>
          <w:numId w:val="3"/>
        </w:numPr>
        <w:rPr>
          <w:lang w:val="en-GB"/>
        </w:rPr>
      </w:pPr>
      <w:r>
        <w:rPr>
          <w:lang w:val="en-GB"/>
        </w:rPr>
        <w:t>Submit to ARM committee the maxim</w:t>
      </w:r>
      <w:r w:rsidR="00821865">
        <w:rPr>
          <w:lang w:val="en-GB"/>
        </w:rPr>
        <w:t>um existing vertical divergence.</w:t>
      </w:r>
    </w:p>
    <w:p w14:paraId="4400AA64" w14:textId="3DBEEA00" w:rsidR="0093667F" w:rsidRPr="00B057F9" w:rsidRDefault="0093667F" w:rsidP="0093667F">
      <w:pPr>
        <w:pStyle w:val="Punktliste31"/>
        <w:numPr>
          <w:ilvl w:val="1"/>
          <w:numId w:val="3"/>
        </w:numPr>
        <w:rPr>
          <w:lang w:val="en-GB"/>
        </w:rPr>
      </w:pPr>
      <w:r w:rsidRPr="00B057F9">
        <w:rPr>
          <w:lang w:val="en-GB"/>
        </w:rPr>
        <w:t xml:space="preserve">The ENG </w:t>
      </w:r>
      <w:r w:rsidRPr="0093667F">
        <w:rPr>
          <w:lang w:val="en-GB"/>
        </w:rPr>
        <w:t>Committee</w:t>
      </w:r>
      <w:r>
        <w:rPr>
          <w:lang w:val="en-GB"/>
        </w:rPr>
        <w:t xml:space="preserve"> assume that this is in reference to available lanterns from Industrial Members. </w:t>
      </w:r>
      <w:r w:rsidR="006C4DB8">
        <w:rPr>
          <w:lang w:val="en-GB"/>
        </w:rPr>
        <w:t>There are lanterns that are available up to thirty degrees vertical divergence to 50% intensity as per IALA Guideline 1065</w:t>
      </w:r>
      <w:r w:rsidR="006C4DB8" w:rsidRPr="00B057F9">
        <w:rPr>
          <w:lang w:val="en-GB"/>
        </w:rPr>
        <w:t>.</w:t>
      </w:r>
    </w:p>
    <w:p w14:paraId="4CAD62B7" w14:textId="77777777" w:rsidR="006C4DB8" w:rsidRPr="00B057F9" w:rsidRDefault="00AA5233">
      <w:pPr>
        <w:pStyle w:val="Punktliste31"/>
        <w:numPr>
          <w:ilvl w:val="0"/>
          <w:numId w:val="3"/>
        </w:numPr>
        <w:rPr>
          <w:lang w:val="en-GB"/>
        </w:rPr>
      </w:pPr>
      <w:r w:rsidRPr="00B057F9">
        <w:rPr>
          <w:lang w:val="en-GB"/>
        </w:rPr>
        <w:t>C</w:t>
      </w:r>
      <w:r w:rsidR="00E1086F">
        <w:rPr>
          <w:lang w:val="en-GB"/>
        </w:rPr>
        <w:t xml:space="preserve">onsider if it’s possible to increase </w:t>
      </w:r>
      <w:r w:rsidR="00821865">
        <w:rPr>
          <w:lang w:val="en-GB"/>
        </w:rPr>
        <w:t xml:space="preserve">the maximum vertical divergence, or if other technical options might have similar </w:t>
      </w:r>
      <w:r w:rsidR="00454047">
        <w:rPr>
          <w:lang w:val="en-GB"/>
        </w:rPr>
        <w:t xml:space="preserve">vertical </w:t>
      </w:r>
      <w:r w:rsidR="00821865">
        <w:rPr>
          <w:lang w:val="en-GB"/>
        </w:rPr>
        <w:t>effect</w:t>
      </w:r>
      <w:r w:rsidR="00454047">
        <w:rPr>
          <w:lang w:val="en-GB"/>
        </w:rPr>
        <w:t xml:space="preserve"> as with the old </w:t>
      </w:r>
      <w:r w:rsidR="00A976D1">
        <w:rPr>
          <w:lang w:val="en-GB"/>
        </w:rPr>
        <w:t xml:space="preserve">incandescent lamp bulbs with acrylic lens (which had </w:t>
      </w:r>
      <w:proofErr w:type="gramStart"/>
      <w:r w:rsidR="00A976D1">
        <w:rPr>
          <w:lang w:val="en-GB"/>
        </w:rPr>
        <w:t>a</w:t>
      </w:r>
      <w:proofErr w:type="gramEnd"/>
      <w:r w:rsidR="00A976D1">
        <w:rPr>
          <w:lang w:val="en-GB"/>
        </w:rPr>
        <w:t xml:space="preserve"> illumination from the top of the lantern)</w:t>
      </w:r>
      <w:r w:rsidR="00821865">
        <w:rPr>
          <w:lang w:val="en-GB"/>
        </w:rPr>
        <w:t>.</w:t>
      </w:r>
    </w:p>
    <w:p w14:paraId="4D4FC94E" w14:textId="5ECA4B1F" w:rsidR="00DD4792" w:rsidRPr="00B057F9" w:rsidRDefault="006C4DB8" w:rsidP="006C4DB8">
      <w:pPr>
        <w:pStyle w:val="Punktliste31"/>
        <w:numPr>
          <w:ilvl w:val="1"/>
          <w:numId w:val="3"/>
        </w:numPr>
        <w:rPr>
          <w:lang w:val="en-GB"/>
        </w:rPr>
      </w:pPr>
      <w:r>
        <w:rPr>
          <w:lang w:val="en-GB"/>
        </w:rPr>
        <w:t>The ENG Committee consider that it would be possible to increase the vertical divergence, but the ARM Committee would need to provide the navigational requirement such that an Industrial Member could meet the specification.</w:t>
      </w:r>
    </w:p>
    <w:p w14:paraId="2B131EE8" w14:textId="79BA95B9" w:rsidR="00DD4792" w:rsidRDefault="006C4DB8" w:rsidP="006C4DB8">
      <w:pPr>
        <w:pStyle w:val="Heading1"/>
        <w:numPr>
          <w:ilvl w:val="0"/>
          <w:numId w:val="2"/>
        </w:numPr>
      </w:pPr>
      <w:r>
        <w:t>Action Requested</w:t>
      </w:r>
    </w:p>
    <w:p w14:paraId="5830BD8C" w14:textId="7FF5C901" w:rsidR="006C4DB8" w:rsidRDefault="006C4DB8" w:rsidP="006C4DB8">
      <w:pPr>
        <w:rPr>
          <w:rFonts w:asciiTheme="minorHAnsi" w:hAnsiTheme="minorHAnsi" w:cstheme="minorHAnsi"/>
          <w:lang w:eastAsia="de-DE"/>
        </w:rPr>
      </w:pPr>
      <w:r>
        <w:rPr>
          <w:rFonts w:asciiTheme="minorHAnsi" w:hAnsiTheme="minorHAnsi" w:cstheme="minorHAnsi"/>
          <w:lang w:eastAsia="de-DE"/>
        </w:rPr>
        <w:t>The ARM Committee are requested t</w:t>
      </w:r>
      <w:r w:rsidR="00C26CED">
        <w:rPr>
          <w:rFonts w:asciiTheme="minorHAnsi" w:hAnsiTheme="minorHAnsi" w:cstheme="minorHAnsi"/>
          <w:lang w:eastAsia="de-DE"/>
        </w:rPr>
        <w:t xml:space="preserve">o: </w:t>
      </w:r>
    </w:p>
    <w:p w14:paraId="65837A40" w14:textId="77777777" w:rsidR="00C26CED" w:rsidRDefault="00C26CED" w:rsidP="006C4DB8">
      <w:pPr>
        <w:rPr>
          <w:rFonts w:asciiTheme="minorHAnsi" w:hAnsiTheme="minorHAnsi" w:cstheme="minorHAnsi"/>
          <w:lang w:eastAsia="de-DE"/>
        </w:rPr>
      </w:pPr>
    </w:p>
    <w:p w14:paraId="1A1AE08C" w14:textId="7CC1FB05" w:rsidR="00C00A91" w:rsidRDefault="00C00A91" w:rsidP="00C00A91">
      <w:pPr>
        <w:pStyle w:val="ListParagraph"/>
        <w:numPr>
          <w:ilvl w:val="0"/>
          <w:numId w:val="5"/>
        </w:numPr>
        <w:rPr>
          <w:rFonts w:asciiTheme="minorHAnsi" w:hAnsiTheme="minorHAnsi" w:cstheme="minorHAnsi"/>
          <w:lang w:eastAsia="de-DE"/>
        </w:rPr>
      </w:pPr>
      <w:r>
        <w:rPr>
          <w:rFonts w:asciiTheme="minorHAnsi" w:hAnsiTheme="minorHAnsi" w:cstheme="minorHAnsi"/>
          <w:lang w:eastAsia="de-DE"/>
        </w:rPr>
        <w:t>Note the above responses</w:t>
      </w:r>
      <w:r w:rsidR="00062A91">
        <w:rPr>
          <w:rFonts w:asciiTheme="minorHAnsi" w:hAnsiTheme="minorHAnsi" w:cstheme="minorHAnsi"/>
          <w:lang w:eastAsia="de-DE"/>
        </w:rPr>
        <w:t>; and</w:t>
      </w:r>
    </w:p>
    <w:p w14:paraId="0582712C" w14:textId="5C9C7B64" w:rsidR="00DD4792" w:rsidRPr="00D71DD5" w:rsidRDefault="00C00A91" w:rsidP="00062A91">
      <w:pPr>
        <w:pStyle w:val="ListParagraph"/>
        <w:numPr>
          <w:ilvl w:val="0"/>
          <w:numId w:val="5"/>
        </w:numPr>
        <w:rPr>
          <w:rFonts w:asciiTheme="minorHAnsi" w:hAnsiTheme="minorHAnsi" w:cstheme="minorHAnsi"/>
          <w:lang w:eastAsia="de-DE"/>
        </w:rPr>
      </w:pPr>
      <w:r>
        <w:rPr>
          <w:rFonts w:asciiTheme="minorHAnsi" w:hAnsiTheme="minorHAnsi" w:cstheme="minorHAnsi"/>
          <w:lang w:eastAsia="de-DE"/>
        </w:rPr>
        <w:t xml:space="preserve">Provide further clarity </w:t>
      </w:r>
      <w:r w:rsidR="00B057F9">
        <w:rPr>
          <w:rFonts w:asciiTheme="minorHAnsi" w:hAnsiTheme="minorHAnsi" w:cstheme="minorHAnsi"/>
          <w:lang w:eastAsia="de-DE"/>
        </w:rPr>
        <w:t xml:space="preserve">to ENG </w:t>
      </w:r>
      <w:r>
        <w:rPr>
          <w:rFonts w:asciiTheme="minorHAnsi" w:hAnsiTheme="minorHAnsi" w:cstheme="minorHAnsi"/>
          <w:lang w:eastAsia="de-DE"/>
        </w:rPr>
        <w:t>on the navigational requirements if necessary</w:t>
      </w:r>
      <w:r w:rsidR="00062A91">
        <w:rPr>
          <w:rFonts w:asciiTheme="minorHAnsi" w:hAnsiTheme="minorHAnsi" w:cstheme="minorHAnsi"/>
          <w:lang w:eastAsia="de-DE"/>
        </w:rPr>
        <w:t>.</w:t>
      </w:r>
    </w:p>
    <w:sectPr w:rsidR="00DD4792" w:rsidRPr="00D71DD5">
      <w:headerReference w:type="default" r:id="rId7"/>
      <w:footerReference w:type="default" r:id="rId8"/>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DDC0C" w14:textId="77777777" w:rsidR="0044706E" w:rsidRDefault="0044706E">
      <w:r>
        <w:separator/>
      </w:r>
    </w:p>
  </w:endnote>
  <w:endnote w:type="continuationSeparator" w:id="0">
    <w:p w14:paraId="11DFE6BE" w14:textId="77777777" w:rsidR="0044706E" w:rsidRDefault="0044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191C2" w14:textId="77777777" w:rsidR="00DD4792" w:rsidRDefault="00E1086F">
    <w:pPr>
      <w:pStyle w:val="Footer"/>
    </w:pPr>
    <w:r>
      <w:tab/>
    </w:r>
    <w:r>
      <w:fldChar w:fldCharType="begin"/>
    </w:r>
    <w:r>
      <w:instrText>PAGE</w:instrText>
    </w:r>
    <w:r>
      <w:fldChar w:fldCharType="separate"/>
    </w:r>
    <w:r w:rsidR="00C26CE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EFB9E" w14:textId="77777777" w:rsidR="0044706E" w:rsidRDefault="0044706E">
      <w:r>
        <w:separator/>
      </w:r>
    </w:p>
  </w:footnote>
  <w:footnote w:type="continuationSeparator" w:id="0">
    <w:p w14:paraId="21CEF6C1" w14:textId="77777777" w:rsidR="0044706E" w:rsidRDefault="00447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8E64F" w14:textId="77777777" w:rsidR="00DD4792" w:rsidRDefault="00E1086F">
    <w:pPr>
      <w:pStyle w:val="Header"/>
    </w:pPr>
    <w:r>
      <w:rPr>
        <w:noProof/>
        <w:lang w:val="en-GB" w:eastAsia="en-GB"/>
      </w:rPr>
      <w:drawing>
        <wp:inline distT="0" distB="0" distL="0" distR="0" wp14:anchorId="4C6B498E" wp14:editId="4AF1B569">
          <wp:extent cx="748665" cy="729615"/>
          <wp:effectExtent l="0" t="0" r="0" b="0"/>
          <wp:docPr id="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pic:cNvPicPr>
                    <a:picLocks noChangeAspect="1" noChangeArrowheads="1"/>
                  </pic:cNvPicPr>
                </pic:nvPicPr>
                <pic:blipFill>
                  <a:blip r:embed="rId1"/>
                  <a:stretch>
                    <a:fillRect/>
                  </a:stretch>
                </pic:blipFill>
                <pic:spPr bwMode="auto">
                  <a:xfrm>
                    <a:off x="0" y="0"/>
                    <a:ext cx="748665" cy="729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32F0F"/>
    <w:multiLevelType w:val="multilevel"/>
    <w:tmpl w:val="661240A4"/>
    <w:lvl w:ilvl="0">
      <w:start w:val="1"/>
      <w:numFmt w:val="decimal"/>
      <w:lvlText w:val="%1."/>
      <w:lvlJc w:val="left"/>
      <w:pPr>
        <w:tabs>
          <w:tab w:val="num" w:pos="720"/>
        </w:tabs>
        <w:ind w:left="720" w:hanging="360"/>
      </w:pPr>
    </w:lvl>
    <w:lvl w:ilvl="1">
      <w:start w:val="1"/>
      <w:numFmt w:val="lowerRoman"/>
      <w:lvlText w:val="%2."/>
      <w:lvlJc w:val="righ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72F6951"/>
    <w:multiLevelType w:val="hybridMultilevel"/>
    <w:tmpl w:val="03CE55DA"/>
    <w:lvl w:ilvl="0" w:tplc="4FA855DA">
      <w:start w:val="1"/>
      <w:numFmt w:val="decimal"/>
      <w:lvlText w:val="%1)"/>
      <w:lvlJc w:val="left"/>
      <w:pPr>
        <w:ind w:left="720" w:hanging="360"/>
      </w:pPr>
      <w:rPr>
        <w:rFonts w:asciiTheme="minorHAnsi" w:hAnsiTheme="minorHAnsi"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7F85787"/>
    <w:multiLevelType w:val="multilevel"/>
    <w:tmpl w:val="43EAD23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6C857C45"/>
    <w:multiLevelType w:val="multilevel"/>
    <w:tmpl w:val="57D8945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7F2F7FF0"/>
    <w:multiLevelType w:val="hybridMultilevel"/>
    <w:tmpl w:val="8D1CF4BC"/>
    <w:lvl w:ilvl="0" w:tplc="6218CE6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792"/>
    <w:rsid w:val="00062A91"/>
    <w:rsid w:val="00070A65"/>
    <w:rsid w:val="002E2B6F"/>
    <w:rsid w:val="00346A1C"/>
    <w:rsid w:val="0044706E"/>
    <w:rsid w:val="00454047"/>
    <w:rsid w:val="005A25D7"/>
    <w:rsid w:val="006C1E06"/>
    <w:rsid w:val="006C4DB8"/>
    <w:rsid w:val="00821865"/>
    <w:rsid w:val="0093667F"/>
    <w:rsid w:val="009D1362"/>
    <w:rsid w:val="00A205B3"/>
    <w:rsid w:val="00A976D1"/>
    <w:rsid w:val="00AA5233"/>
    <w:rsid w:val="00AE7325"/>
    <w:rsid w:val="00B057F9"/>
    <w:rsid w:val="00C00A91"/>
    <w:rsid w:val="00C26CED"/>
    <w:rsid w:val="00D71DD5"/>
    <w:rsid w:val="00DD4792"/>
    <w:rsid w:val="00E1086F"/>
    <w:rsid w:val="00ED7A24"/>
    <w:rsid w:val="00F12E23"/>
    <w:rsid w:val="00FE3821"/>
  </w:rsids>
  <m:mathPr>
    <m:mathFont m:val="Cambria Math"/>
    <m:brkBin m:val="before"/>
    <m:brkBinSub m:val="--"/>
    <m:smallFrac m:val="0"/>
    <m:dispDef/>
    <m:lMargin m:val="0"/>
    <m:rMargin m:val="0"/>
    <m:defJc m:val="centerGroup"/>
    <m:wrapIndent m:val="1440"/>
    <m:intLim m:val="subSup"/>
    <m:naryLim m:val="undOvr"/>
  </m:mathPr>
  <w:themeFontLang w:val="en-I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64492"/>
  <w15:docId w15:val="{A89BF0FA-F5E7-405F-BC08-738EDC5D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HTML Typewriter"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
      </w:numPr>
      <w:tabs>
        <w:tab w:val="left" w:pos="567"/>
      </w:tabs>
      <w:spacing w:before="240" w:after="240"/>
      <w:ind w:left="567" w:hanging="567"/>
      <w:outlineLvl w:val="0"/>
    </w:pPr>
    <w:rPr>
      <w:rFonts w:ascii="Calibri" w:eastAsia="MS Mincho" w:hAnsi="Calibri"/>
      <w:b/>
      <w:color w:val="00558C"/>
      <w:kern w:val="2"/>
      <w:lang w:eastAsia="de-DE"/>
    </w:rPr>
  </w:style>
  <w:style w:type="paragraph" w:styleId="Heading2">
    <w:name w:val="heading 2"/>
    <w:basedOn w:val="Heading1"/>
    <w:next w:val="Normal"/>
    <w:qFormat/>
    <w:rsid w:val="00135447"/>
    <w:pPr>
      <w:numPr>
        <w:ilvl w:val="1"/>
      </w:numPr>
      <w:tabs>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
      </w:numPr>
      <w:tabs>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E66034"/>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customStyle="1" w:styleId="ListLabel1">
    <w:name w:val="ListLabel 1"/>
    <w:qFormat/>
    <w:rPr>
      <w:b/>
      <w:i w:val="0"/>
      <w:sz w:val="28"/>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i w:val="0"/>
      <w:sz w:val="22"/>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b w:val="0"/>
      <w:i/>
      <w:sz w:val="22"/>
    </w:rPr>
  </w:style>
  <w:style w:type="character" w:customStyle="1" w:styleId="ListLabel13">
    <w:name w:val="ListLabel 13"/>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14">
    <w:name w:val="ListLabel 14"/>
    <w:qFormat/>
    <w:rPr>
      <w:b w:val="0"/>
      <w:i w:val="0"/>
      <w:sz w:val="22"/>
      <w:szCs w:val="22"/>
    </w:rPr>
  </w:style>
  <w:style w:type="character" w:customStyle="1" w:styleId="ListLabel15">
    <w:name w:val="ListLabel 15"/>
    <w:qFormat/>
    <w:rPr>
      <w:b w:val="0"/>
      <w:i w:val="0"/>
      <w:sz w:val="22"/>
      <w:szCs w:val="22"/>
    </w:rPr>
  </w:style>
  <w:style w:type="character" w:customStyle="1" w:styleId="ListLabel16">
    <w:name w:val="ListLabel 16"/>
    <w:qFormat/>
    <w:rPr>
      <w:b w:val="0"/>
      <w:i w:val="0"/>
      <w:sz w:val="22"/>
      <w:szCs w:val="22"/>
    </w:rPr>
  </w:style>
  <w:style w:type="character" w:customStyle="1" w:styleId="ListLabel17">
    <w:name w:val="ListLabel 17"/>
    <w:qFormat/>
    <w:rPr>
      <w:b w:val="0"/>
      <w:i w:val="0"/>
      <w:sz w:val="22"/>
    </w:rPr>
  </w:style>
  <w:style w:type="character" w:customStyle="1" w:styleId="ListLabel18">
    <w:name w:val="ListLabel 18"/>
    <w:qFormat/>
    <w:rPr>
      <w:b w:val="0"/>
      <w:i w:val="0"/>
      <w:sz w:val="22"/>
    </w:rPr>
  </w:style>
  <w:style w:type="character" w:customStyle="1" w:styleId="ListLabel19">
    <w:name w:val="ListLabel 19"/>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0">
    <w:name w:val="ListLabel 20"/>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1">
    <w:name w:val="ListLabel 21"/>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2">
    <w:name w:val="ListLabel 22"/>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3">
    <w:name w:val="ListLabel 23"/>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4">
    <w:name w:val="ListLabel 24"/>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5">
    <w:name w:val="ListLabel 25"/>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6">
    <w:name w:val="ListLabel 26"/>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Caractresdenumrotation">
    <w:name w:val="Caractères de numérotation"/>
    <w:qFormat/>
  </w:style>
  <w:style w:type="paragraph" w:customStyle="1" w:styleId="Titre">
    <w:name w:val="Titr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itle">
    <w:name w:val="Title"/>
    <w:basedOn w:val="Normal"/>
    <w:qFormat/>
    <w:rsid w:val="000348ED"/>
    <w:pPr>
      <w:spacing w:before="240" w:after="60"/>
      <w:jc w:val="center"/>
      <w:outlineLvl w:val="0"/>
    </w:pPr>
    <w:rPr>
      <w:rFonts w:cs="Arial"/>
      <w:b/>
      <w:bCs/>
      <w:kern w:val="2"/>
      <w:sz w:val="32"/>
      <w:szCs w:val="32"/>
    </w:rPr>
  </w:style>
  <w:style w:type="paragraph" w:customStyle="1" w:styleId="Annex">
    <w:name w:val="Annex"/>
    <w:basedOn w:val="Heading1"/>
    <w:next w:val="Normal"/>
    <w:qFormat/>
    <w:rsid w:val="005D05AC"/>
    <w:pPr>
      <w:numPr>
        <w:numId w:val="0"/>
      </w:numPr>
      <w:tabs>
        <w:tab w:val="left" w:pos="1701"/>
      </w:tabs>
      <w:ind w:left="567" w:hanging="567"/>
    </w:pPr>
    <w:rPr>
      <w:bCs/>
    </w:rPr>
  </w:style>
  <w:style w:type="paragraph" w:customStyle="1" w:styleId="Bullet1">
    <w:name w:val="Bullet 1"/>
    <w:basedOn w:val="Normal"/>
    <w:qFormat/>
    <w:rsid w:val="00E66034"/>
    <w:pPr>
      <w:tabs>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uppressAutoHyphens/>
      <w:spacing w:after="120"/>
      <w:ind w:left="1701"/>
      <w:jc w:val="both"/>
    </w:pPr>
    <w:rPr>
      <w:lang w:val="fr-FR" w:eastAsia="en-GB"/>
    </w:rPr>
  </w:style>
  <w:style w:type="paragraph" w:customStyle="1" w:styleId="Bullet3">
    <w:name w:val="Bullet 3"/>
    <w:basedOn w:val="Normal"/>
    <w:qFormat/>
    <w:rsid w:val="00E93C9B"/>
    <w:p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uppressAutoHyphens/>
      <w:spacing w:after="60"/>
      <w:ind w:left="2268"/>
    </w:pPr>
    <w:rPr>
      <w:sz w:val="20"/>
      <w:lang w:val="fr-FR" w:eastAsia="en-GB"/>
    </w:rPr>
  </w:style>
  <w:style w:type="paragraph" w:customStyle="1" w:styleId="Figure">
    <w:name w:val="Figure_#"/>
    <w:basedOn w:val="Normal"/>
    <w:next w:val="Normal"/>
    <w:qFormat/>
    <w:rsid w:val="005D05AC"/>
    <w:p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Punktliste31">
    <w:name w:val="Punktliste 31"/>
    <w:basedOn w:val="Normal"/>
    <w:qFormat/>
    <w:rsid w:val="00E66034"/>
    <w:pPr>
      <w:spacing w:after="120"/>
      <w:jc w:val="both"/>
    </w:pPr>
    <w:rPr>
      <w:rFonts w:ascii="Calibri" w:hAnsi="Calibri"/>
      <w:lang w:val="fr-FR" w:eastAsia="en-GB"/>
    </w:rPr>
  </w:style>
  <w:style w:type="paragraph" w:customStyle="1" w:styleId="List1indent1">
    <w:name w:val="List 1 indent 1"/>
    <w:basedOn w:val="Normal"/>
    <w:qFormat/>
    <w:rsid w:val="00E93C9B"/>
    <w:p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tabs>
        <w:tab w:val="right" w:pos="9639"/>
      </w:tabs>
      <w:spacing w:after="120"/>
      <w:ind w:right="284"/>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customStyle="1" w:styleId="Illustration">
    <w:name w:val="Illustration"/>
    <w:basedOn w:val="Caption"/>
    <w:qFormat/>
  </w:style>
  <w:style w:type="paragraph" w:customStyle="1" w:styleId="Contenudecadre">
    <w:name w:val="Contenu de cadre"/>
    <w:basedOn w:val="Normal"/>
    <w:qFormat/>
  </w:style>
  <w:style w:type="paragraph" w:styleId="BalloonText">
    <w:name w:val="Balloon Text"/>
    <w:basedOn w:val="Normal"/>
    <w:link w:val="BalloonTextChar"/>
    <w:rsid w:val="00FE3821"/>
    <w:rPr>
      <w:rFonts w:ascii="Segoe UI" w:hAnsi="Segoe UI" w:cs="Segoe UI"/>
      <w:sz w:val="18"/>
      <w:szCs w:val="18"/>
    </w:rPr>
  </w:style>
  <w:style w:type="character" w:customStyle="1" w:styleId="BalloonTextChar">
    <w:name w:val="Balloon Text Char"/>
    <w:basedOn w:val="DefaultParagraphFont"/>
    <w:link w:val="BalloonText"/>
    <w:rsid w:val="00FE3821"/>
    <w:rPr>
      <w:rFonts w:ascii="Segoe UI" w:hAnsi="Segoe UI" w:cs="Segoe UI"/>
      <w:sz w:val="18"/>
      <w:szCs w:val="18"/>
      <w:lang w:val="en-GB" w:eastAsia="en-US"/>
    </w:rPr>
  </w:style>
  <w:style w:type="paragraph" w:styleId="ListParagraph">
    <w:name w:val="List Paragraph"/>
    <w:basedOn w:val="Normal"/>
    <w:uiPriority w:val="34"/>
    <w:rsid w:val="006C4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Words>
  <Characters>1833</Characters>
  <Application>Microsoft Office Word</Application>
  <DocSecurity>0</DocSecurity>
  <Lines>15</Lines>
  <Paragraphs>4</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Tomren, Guttorm</dc:creator>
  <dc:description/>
  <cp:lastModifiedBy>Kevin Gregory</cp:lastModifiedBy>
  <cp:revision>4</cp:revision>
  <dcterms:created xsi:type="dcterms:W3CDTF">2019-10-03T15:45:00Z</dcterms:created>
  <dcterms:modified xsi:type="dcterms:W3CDTF">2019-10-09T08:51:00Z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DFO-MPO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